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592" w:type="dxa"/>
        <w:tblLook w:val="04A0" w:firstRow="1" w:lastRow="0" w:firstColumn="1" w:lastColumn="0" w:noHBand="0" w:noVBand="1"/>
      </w:tblPr>
      <w:tblGrid>
        <w:gridCol w:w="2856"/>
        <w:gridCol w:w="2105"/>
        <w:gridCol w:w="2388"/>
        <w:gridCol w:w="2060"/>
        <w:gridCol w:w="2084"/>
        <w:gridCol w:w="2028"/>
        <w:gridCol w:w="2071"/>
      </w:tblGrid>
      <w:tr w:rsidR="00F33D22" w14:paraId="1B89D237" w14:textId="77777777" w:rsidTr="00F33D22">
        <w:trPr>
          <w:trHeight w:val="270"/>
        </w:trPr>
        <w:tc>
          <w:tcPr>
            <w:tcW w:w="2856" w:type="dxa"/>
          </w:tcPr>
          <w:p w14:paraId="560B7B19" w14:textId="0893BE0A" w:rsidR="00F33D22" w:rsidRPr="00F93305" w:rsidRDefault="00F33D22">
            <w:pPr>
              <w:rPr>
                <w:b/>
                <w:bCs/>
              </w:rPr>
            </w:pPr>
            <w:r w:rsidRPr="00F93305">
              <w:rPr>
                <w:b/>
                <w:bCs/>
                <w:sz w:val="40"/>
                <w:szCs w:val="40"/>
              </w:rPr>
              <w:t xml:space="preserve">Year: </w:t>
            </w:r>
            <w:r>
              <w:rPr>
                <w:b/>
                <w:bCs/>
                <w:sz w:val="40"/>
                <w:szCs w:val="40"/>
              </w:rPr>
              <w:t>10 HSC</w:t>
            </w:r>
          </w:p>
        </w:tc>
        <w:tc>
          <w:tcPr>
            <w:tcW w:w="10665" w:type="dxa"/>
            <w:gridSpan w:val="5"/>
          </w:tcPr>
          <w:p w14:paraId="3C200811" w14:textId="08BF0BBE" w:rsidR="00F33D22" w:rsidRDefault="00F33D22">
            <w:r>
              <w:rPr>
                <w:b/>
                <w:bCs/>
              </w:rPr>
              <w:t>Curriculum Intent:</w:t>
            </w:r>
            <w:r>
              <w:t xml:space="preserve"> Health and Social Care introduces students to the specialist knowledge and skills needed to work in various care settings. Underpinning the qualification is a focus on core values and communicating with individuals to maintain their dignity and sense of being valued. This is developed through an investigation into supporting individuals at different life stages and through different life events and planning and carrying out creative activities and knowing their benefits. The skills learned will be useful for all students in their future education and employment.</w:t>
            </w:r>
          </w:p>
        </w:tc>
        <w:tc>
          <w:tcPr>
            <w:tcW w:w="2071" w:type="dxa"/>
            <w:vAlign w:val="center"/>
          </w:tcPr>
          <w:p w14:paraId="33E23690" w14:textId="0927C616" w:rsidR="00F33D22" w:rsidRDefault="00F33D22" w:rsidP="00066D4B">
            <w:pPr>
              <w:jc w:val="center"/>
            </w:pPr>
            <w:r>
              <w:rPr>
                <w:noProof/>
              </w:rPr>
              <w:drawing>
                <wp:inline distT="0" distB="0" distL="0" distR="0" wp14:anchorId="2BE1F215" wp14:editId="76507F12">
                  <wp:extent cx="969645" cy="8413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645" cy="841375"/>
                          </a:xfrm>
                          <a:prstGeom prst="rect">
                            <a:avLst/>
                          </a:prstGeom>
                          <a:noFill/>
                        </pic:spPr>
                      </pic:pic>
                    </a:graphicData>
                  </a:graphic>
                </wp:inline>
              </w:drawing>
            </w:r>
          </w:p>
        </w:tc>
      </w:tr>
      <w:tr w:rsidR="00F33D22" w14:paraId="5AE831DB" w14:textId="77777777" w:rsidTr="00F33D22">
        <w:trPr>
          <w:trHeight w:val="270"/>
        </w:trPr>
        <w:tc>
          <w:tcPr>
            <w:tcW w:w="2856" w:type="dxa"/>
          </w:tcPr>
          <w:p w14:paraId="11524979" w14:textId="55B4DE40" w:rsidR="00F33D22" w:rsidRPr="00F33D22" w:rsidRDefault="00F33D22">
            <w:pPr>
              <w:rPr>
                <w:b/>
                <w:bCs/>
                <w:sz w:val="32"/>
                <w:szCs w:val="32"/>
              </w:rPr>
            </w:pPr>
            <w:r w:rsidRPr="00F33D22">
              <w:rPr>
                <w:b/>
                <w:bCs/>
                <w:sz w:val="32"/>
                <w:szCs w:val="32"/>
              </w:rPr>
              <w:t>Unit title: Cambridge National Level 2 Health and Social Care</w:t>
            </w:r>
          </w:p>
        </w:tc>
        <w:tc>
          <w:tcPr>
            <w:tcW w:w="4493" w:type="dxa"/>
            <w:gridSpan w:val="2"/>
            <w:vAlign w:val="center"/>
          </w:tcPr>
          <w:p w14:paraId="3AA3884F" w14:textId="77777777" w:rsidR="00F33D22" w:rsidRPr="00066D4B" w:rsidRDefault="00F33D22" w:rsidP="00066D4B">
            <w:pPr>
              <w:jc w:val="center"/>
              <w:rPr>
                <w:b/>
                <w:bCs/>
              </w:rPr>
            </w:pPr>
            <w:r w:rsidRPr="00066D4B">
              <w:rPr>
                <w:b/>
                <w:bCs/>
              </w:rPr>
              <w:t>Term 1</w:t>
            </w:r>
          </w:p>
          <w:p w14:paraId="5804F64A" w14:textId="52411CD8" w:rsidR="00F33D22" w:rsidRPr="00066D4B" w:rsidRDefault="00F33D22" w:rsidP="00066D4B">
            <w:pPr>
              <w:jc w:val="center"/>
              <w:rPr>
                <w:i/>
                <w:iCs/>
              </w:rPr>
            </w:pPr>
            <w:r>
              <w:rPr>
                <w:i/>
                <w:iCs/>
              </w:rPr>
              <w:t>R033 supporting individuals through life events (</w:t>
            </w:r>
            <w:proofErr w:type="spellStart"/>
            <w:r>
              <w:rPr>
                <w:i/>
                <w:iCs/>
              </w:rPr>
              <w:t>cw</w:t>
            </w:r>
            <w:proofErr w:type="spellEnd"/>
            <w:r>
              <w:rPr>
                <w:i/>
                <w:iCs/>
              </w:rPr>
              <w:t>)</w:t>
            </w:r>
          </w:p>
        </w:tc>
        <w:tc>
          <w:tcPr>
            <w:tcW w:w="4144" w:type="dxa"/>
            <w:gridSpan w:val="2"/>
            <w:vAlign w:val="center"/>
          </w:tcPr>
          <w:p w14:paraId="2F8B30E9" w14:textId="77777777" w:rsidR="00F33D22" w:rsidRPr="00066D4B" w:rsidRDefault="00F33D22" w:rsidP="00066D4B">
            <w:pPr>
              <w:jc w:val="center"/>
              <w:rPr>
                <w:b/>
                <w:bCs/>
              </w:rPr>
            </w:pPr>
            <w:r w:rsidRPr="00066D4B">
              <w:rPr>
                <w:b/>
                <w:bCs/>
              </w:rPr>
              <w:t>Term 2</w:t>
            </w:r>
          </w:p>
          <w:p w14:paraId="53003E38" w14:textId="36A0EC83" w:rsidR="00F33D22" w:rsidRPr="00066D4B" w:rsidRDefault="00F33D22" w:rsidP="00066D4B">
            <w:pPr>
              <w:jc w:val="center"/>
              <w:rPr>
                <w:i/>
                <w:iCs/>
              </w:rPr>
            </w:pPr>
            <w:r w:rsidRPr="00853FDC">
              <w:rPr>
                <w:i/>
                <w:iCs/>
              </w:rPr>
              <w:t>R033 supporting individuals through life events (</w:t>
            </w:r>
            <w:proofErr w:type="spellStart"/>
            <w:r w:rsidRPr="00853FDC">
              <w:rPr>
                <w:i/>
                <w:iCs/>
              </w:rPr>
              <w:t>cw</w:t>
            </w:r>
            <w:proofErr w:type="spellEnd"/>
            <w:r w:rsidRPr="00853FDC">
              <w:rPr>
                <w:i/>
                <w:iCs/>
              </w:rPr>
              <w:t>)</w:t>
            </w:r>
          </w:p>
        </w:tc>
        <w:tc>
          <w:tcPr>
            <w:tcW w:w="4099" w:type="dxa"/>
            <w:gridSpan w:val="2"/>
            <w:vAlign w:val="center"/>
          </w:tcPr>
          <w:p w14:paraId="005BBBA7" w14:textId="77777777" w:rsidR="00F33D22" w:rsidRPr="00066D4B" w:rsidRDefault="00F33D22" w:rsidP="00066D4B">
            <w:pPr>
              <w:jc w:val="center"/>
              <w:rPr>
                <w:b/>
                <w:bCs/>
              </w:rPr>
            </w:pPr>
            <w:r w:rsidRPr="00066D4B">
              <w:rPr>
                <w:b/>
                <w:bCs/>
              </w:rPr>
              <w:t>Term 3</w:t>
            </w:r>
          </w:p>
          <w:p w14:paraId="351B438E" w14:textId="20722E9B" w:rsidR="00F33D22" w:rsidRPr="00066D4B" w:rsidRDefault="00F33D22" w:rsidP="00066D4B">
            <w:pPr>
              <w:jc w:val="center"/>
              <w:rPr>
                <w:i/>
                <w:iCs/>
              </w:rPr>
            </w:pPr>
            <w:r>
              <w:rPr>
                <w:i/>
                <w:iCs/>
              </w:rPr>
              <w:t>R033 (</w:t>
            </w:r>
            <w:proofErr w:type="spellStart"/>
            <w:r>
              <w:rPr>
                <w:i/>
                <w:iCs/>
              </w:rPr>
              <w:t>cw</w:t>
            </w:r>
            <w:proofErr w:type="spellEnd"/>
            <w:r>
              <w:rPr>
                <w:i/>
                <w:iCs/>
              </w:rPr>
              <w:t>) and RO34 Creative and Therapeutic activities (</w:t>
            </w:r>
            <w:proofErr w:type="spellStart"/>
            <w:r>
              <w:rPr>
                <w:i/>
                <w:iCs/>
              </w:rPr>
              <w:t>cw</w:t>
            </w:r>
            <w:proofErr w:type="spellEnd"/>
            <w:r>
              <w:rPr>
                <w:i/>
                <w:iCs/>
              </w:rPr>
              <w:t>)</w:t>
            </w:r>
          </w:p>
        </w:tc>
      </w:tr>
      <w:tr w:rsidR="00F33D22" w14:paraId="051E5741" w14:textId="77777777" w:rsidTr="00F33D22">
        <w:trPr>
          <w:trHeight w:val="270"/>
        </w:trPr>
        <w:tc>
          <w:tcPr>
            <w:tcW w:w="2856" w:type="dxa"/>
            <w:vAlign w:val="center"/>
          </w:tcPr>
          <w:p w14:paraId="18CD80B8" w14:textId="31269E64" w:rsidR="00F33D22" w:rsidRPr="00066D4B" w:rsidRDefault="00F33D22" w:rsidP="008A1798">
            <w:pPr>
              <w:jc w:val="center"/>
              <w:rPr>
                <w:b/>
                <w:bCs/>
                <w:sz w:val="24"/>
                <w:szCs w:val="24"/>
              </w:rPr>
            </w:pPr>
            <w:r w:rsidRPr="00066D4B">
              <w:rPr>
                <w:b/>
                <w:bCs/>
                <w:sz w:val="24"/>
                <w:szCs w:val="24"/>
              </w:rPr>
              <w:t>Topic Titles (in order of delivery)</w:t>
            </w:r>
          </w:p>
        </w:tc>
        <w:tc>
          <w:tcPr>
            <w:tcW w:w="2105" w:type="dxa"/>
          </w:tcPr>
          <w:p w14:paraId="0E94D07A" w14:textId="77777777" w:rsidR="00F33D22" w:rsidRDefault="00F33D22" w:rsidP="008A1798">
            <w:pPr>
              <w:pStyle w:val="ListParagraph"/>
              <w:numPr>
                <w:ilvl w:val="0"/>
                <w:numId w:val="2"/>
              </w:numPr>
            </w:pPr>
            <w:r>
              <w:t>R033</w:t>
            </w:r>
          </w:p>
          <w:p w14:paraId="37757BC3" w14:textId="3C475FB1" w:rsidR="00F33D22" w:rsidRDefault="00F33D22" w:rsidP="007F7897">
            <w:pPr>
              <w:pStyle w:val="ListParagraph"/>
              <w:ind w:left="360"/>
            </w:pPr>
            <w:r>
              <w:t xml:space="preserve">– continuing from Y9 finishing Task 1 – Life stages and factors affecting growth and development. </w:t>
            </w:r>
          </w:p>
          <w:p w14:paraId="1ECFC460" w14:textId="429230B0" w:rsidR="00F33D22" w:rsidRDefault="00F33D22" w:rsidP="00AF211E">
            <w:pPr>
              <w:pStyle w:val="ListParagraph"/>
              <w:numPr>
                <w:ilvl w:val="0"/>
                <w:numId w:val="2"/>
              </w:numPr>
            </w:pPr>
            <w:r>
              <w:t>RO33 – starting Task 2a – Impacts of life events.</w:t>
            </w:r>
          </w:p>
        </w:tc>
        <w:tc>
          <w:tcPr>
            <w:tcW w:w="2388" w:type="dxa"/>
          </w:tcPr>
          <w:p w14:paraId="654A3D94" w14:textId="77777777" w:rsidR="00F33D22" w:rsidRDefault="00F33D22" w:rsidP="007F7897">
            <w:r>
              <w:t>RO33</w:t>
            </w:r>
          </w:p>
          <w:p w14:paraId="6C293326" w14:textId="3DE6DA94" w:rsidR="00F33D22" w:rsidRDefault="00F33D22" w:rsidP="007F7897">
            <w:pPr>
              <w:pStyle w:val="ListParagraph"/>
              <w:numPr>
                <w:ilvl w:val="0"/>
                <w:numId w:val="7"/>
              </w:numPr>
            </w:pPr>
            <w:r>
              <w:t xml:space="preserve">Continuation of RO33 - </w:t>
            </w:r>
            <w:r w:rsidRPr="00310033">
              <w:t>Task 2a – Impacts of life events.</w:t>
            </w:r>
          </w:p>
          <w:p w14:paraId="039C3796" w14:textId="77777777" w:rsidR="00F33D22" w:rsidRDefault="00F33D22" w:rsidP="007F7897">
            <w:pPr>
              <w:pStyle w:val="ListParagraph"/>
              <w:numPr>
                <w:ilvl w:val="0"/>
                <w:numId w:val="7"/>
              </w:numPr>
            </w:pPr>
            <w:r>
              <w:t>Re-cap of RO32</w:t>
            </w:r>
          </w:p>
          <w:p w14:paraId="1B0D35DC" w14:textId="77777777" w:rsidR="00F33D22" w:rsidRDefault="00F33D22" w:rsidP="007F7897">
            <w:pPr>
              <w:pStyle w:val="ListParagraph"/>
              <w:numPr>
                <w:ilvl w:val="0"/>
                <w:numId w:val="24"/>
              </w:numPr>
            </w:pPr>
            <w:r>
              <w:t>Rights of service users</w:t>
            </w:r>
          </w:p>
          <w:p w14:paraId="64D7ED85" w14:textId="77777777" w:rsidR="00F33D22" w:rsidRDefault="00F33D22" w:rsidP="007F7897">
            <w:pPr>
              <w:pStyle w:val="ListParagraph"/>
              <w:numPr>
                <w:ilvl w:val="0"/>
                <w:numId w:val="24"/>
              </w:numPr>
            </w:pPr>
            <w:r>
              <w:t>Person centred values</w:t>
            </w:r>
          </w:p>
          <w:p w14:paraId="23AD4CD3" w14:textId="65E1CB61" w:rsidR="00F33D22" w:rsidRDefault="00F33D22" w:rsidP="00310033">
            <w:pPr>
              <w:pStyle w:val="ListParagraph"/>
              <w:numPr>
                <w:ilvl w:val="0"/>
                <w:numId w:val="24"/>
              </w:numPr>
            </w:pPr>
            <w:r>
              <w:t>Effective communication.</w:t>
            </w:r>
          </w:p>
        </w:tc>
        <w:tc>
          <w:tcPr>
            <w:tcW w:w="2060" w:type="dxa"/>
          </w:tcPr>
          <w:p w14:paraId="11FA95F8" w14:textId="77777777" w:rsidR="00F33D22" w:rsidRDefault="00F33D22" w:rsidP="008A1798">
            <w:pPr>
              <w:pStyle w:val="ListParagraph"/>
              <w:numPr>
                <w:ilvl w:val="0"/>
                <w:numId w:val="6"/>
              </w:numPr>
            </w:pPr>
            <w:r>
              <w:t>RO33 – continuing Task 2a.</w:t>
            </w:r>
          </w:p>
          <w:p w14:paraId="4A690C19" w14:textId="2735982D" w:rsidR="00F33D22" w:rsidRDefault="00F33D22" w:rsidP="008A1798">
            <w:pPr>
              <w:pStyle w:val="ListParagraph"/>
              <w:numPr>
                <w:ilvl w:val="0"/>
                <w:numId w:val="6"/>
              </w:numPr>
            </w:pPr>
            <w:r>
              <w:t xml:space="preserve">Starting Task 2b – sources of support. </w:t>
            </w:r>
          </w:p>
        </w:tc>
        <w:tc>
          <w:tcPr>
            <w:tcW w:w="2084" w:type="dxa"/>
          </w:tcPr>
          <w:p w14:paraId="3F1CACF8" w14:textId="77777777" w:rsidR="00F33D22" w:rsidRDefault="00F33D22" w:rsidP="00853FDC">
            <w:pPr>
              <w:pStyle w:val="ListParagraph"/>
              <w:numPr>
                <w:ilvl w:val="0"/>
                <w:numId w:val="26"/>
              </w:numPr>
            </w:pPr>
            <w:r>
              <w:t>RO33 – Task 2b – sources of support.</w:t>
            </w:r>
          </w:p>
          <w:p w14:paraId="3B0205EE" w14:textId="6B92C80E" w:rsidR="00F33D22" w:rsidRDefault="00F33D22" w:rsidP="00853FDC">
            <w:pPr>
              <w:pStyle w:val="ListParagraph"/>
              <w:numPr>
                <w:ilvl w:val="0"/>
                <w:numId w:val="26"/>
              </w:numPr>
            </w:pPr>
            <w:r>
              <w:t>Recap of RO32 - Rights of service users, person-centred values, effective communication, protecting service users and service providers.</w:t>
            </w:r>
          </w:p>
        </w:tc>
        <w:tc>
          <w:tcPr>
            <w:tcW w:w="2028" w:type="dxa"/>
          </w:tcPr>
          <w:p w14:paraId="3629A0BB" w14:textId="66CE0C81" w:rsidR="00F33D22" w:rsidRDefault="00F33D22" w:rsidP="008A1798">
            <w:pPr>
              <w:pStyle w:val="ListParagraph"/>
              <w:numPr>
                <w:ilvl w:val="0"/>
                <w:numId w:val="8"/>
              </w:numPr>
            </w:pPr>
            <w:r>
              <w:t>Complete all corrections for R033.</w:t>
            </w:r>
          </w:p>
          <w:p w14:paraId="257384A1" w14:textId="0E5075ED" w:rsidR="00F33D22" w:rsidRDefault="00F33D22" w:rsidP="008A1798">
            <w:pPr>
              <w:pStyle w:val="ListParagraph"/>
              <w:numPr>
                <w:ilvl w:val="0"/>
                <w:numId w:val="8"/>
              </w:numPr>
            </w:pPr>
            <w:r w:rsidRPr="00853FDC">
              <w:t>Recap of RO32 - Rights of service users, person-centred values, effective communication, protecting service users and service providers.</w:t>
            </w:r>
          </w:p>
          <w:p w14:paraId="57AA560C" w14:textId="4560878D" w:rsidR="00F33D22" w:rsidRDefault="00F33D22" w:rsidP="00853FDC">
            <w:pPr>
              <w:pStyle w:val="ListParagraph"/>
              <w:ind w:left="360"/>
            </w:pPr>
          </w:p>
        </w:tc>
        <w:tc>
          <w:tcPr>
            <w:tcW w:w="2071" w:type="dxa"/>
          </w:tcPr>
          <w:p w14:paraId="3CB3FB5A" w14:textId="3E02E691" w:rsidR="00F33D22" w:rsidRDefault="00F33D22" w:rsidP="008A1798">
            <w:pPr>
              <w:pStyle w:val="ListParagraph"/>
              <w:numPr>
                <w:ilvl w:val="0"/>
                <w:numId w:val="9"/>
              </w:numPr>
            </w:pPr>
            <w:r>
              <w:t>RO34 – starting Creative and Therapeutic activities: therapies and their benefits and creative activities and their benefits.</w:t>
            </w:r>
          </w:p>
        </w:tc>
      </w:tr>
      <w:tr w:rsidR="00F33D22" w14:paraId="112CFDF7" w14:textId="77777777" w:rsidTr="00F33D22">
        <w:trPr>
          <w:trHeight w:val="278"/>
        </w:trPr>
        <w:tc>
          <w:tcPr>
            <w:tcW w:w="2856" w:type="dxa"/>
            <w:vAlign w:val="center"/>
          </w:tcPr>
          <w:p w14:paraId="4461E8C5" w14:textId="77777777" w:rsidR="00F33D22" w:rsidRDefault="00F33D22" w:rsidP="008A1798">
            <w:pPr>
              <w:jc w:val="center"/>
              <w:rPr>
                <w:b/>
                <w:bCs/>
                <w:sz w:val="24"/>
                <w:szCs w:val="24"/>
              </w:rPr>
            </w:pPr>
            <w:r w:rsidRPr="00066D4B">
              <w:rPr>
                <w:b/>
                <w:bCs/>
                <w:sz w:val="24"/>
                <w:szCs w:val="24"/>
              </w:rPr>
              <w:t>Key knowledge / Retrieval topics</w:t>
            </w:r>
          </w:p>
          <w:p w14:paraId="548B74E9" w14:textId="20E951B8" w:rsidR="00F33D22" w:rsidRDefault="00F33D22" w:rsidP="00CE2F38">
            <w:pPr>
              <w:rPr>
                <w:sz w:val="24"/>
                <w:szCs w:val="24"/>
              </w:rPr>
            </w:pPr>
            <w:r w:rsidRPr="00CE2F38">
              <w:rPr>
                <w:sz w:val="24"/>
                <w:szCs w:val="24"/>
              </w:rPr>
              <w:t>key terminology:</w:t>
            </w:r>
            <w:r>
              <w:rPr>
                <w:sz w:val="24"/>
                <w:szCs w:val="24"/>
              </w:rPr>
              <w:t xml:space="preserve"> informed consent, legislation, review, synopsis, verbal, non-verbal, paraverbal, tone, pace,</w:t>
            </w:r>
          </w:p>
          <w:p w14:paraId="47E4C840" w14:textId="666D913B" w:rsidR="00F33D22" w:rsidRDefault="00F33D22" w:rsidP="00CE2F38">
            <w:r>
              <w:rPr>
                <w:sz w:val="24"/>
                <w:szCs w:val="24"/>
              </w:rPr>
              <w:t xml:space="preserve">creative activities, </w:t>
            </w:r>
            <w:r>
              <w:t>physical benefits, intellectual benefits,</w:t>
            </w:r>
          </w:p>
          <w:p w14:paraId="31F0C959" w14:textId="3DA174D7" w:rsidR="00F33D22" w:rsidRPr="00CE2F38" w:rsidRDefault="00F33D22" w:rsidP="00CE2F38">
            <w:pPr>
              <w:rPr>
                <w:sz w:val="24"/>
                <w:szCs w:val="24"/>
              </w:rPr>
            </w:pPr>
            <w:r>
              <w:lastRenderedPageBreak/>
              <w:t>language benefits, emotional benefits, social benefits</w:t>
            </w:r>
          </w:p>
          <w:p w14:paraId="74E1ACA6" w14:textId="77777777" w:rsidR="00F33D22" w:rsidRDefault="00F33D22" w:rsidP="008A1798">
            <w:pPr>
              <w:jc w:val="center"/>
              <w:rPr>
                <w:b/>
                <w:bCs/>
                <w:sz w:val="24"/>
                <w:szCs w:val="24"/>
              </w:rPr>
            </w:pPr>
          </w:p>
          <w:p w14:paraId="481BA957" w14:textId="77777777" w:rsidR="00F33D22" w:rsidRDefault="00F33D22" w:rsidP="008A1798">
            <w:pPr>
              <w:jc w:val="center"/>
              <w:rPr>
                <w:b/>
                <w:bCs/>
                <w:sz w:val="24"/>
                <w:szCs w:val="24"/>
              </w:rPr>
            </w:pPr>
          </w:p>
          <w:p w14:paraId="6DB0D831" w14:textId="77777777" w:rsidR="00F33D22" w:rsidRDefault="00F33D22" w:rsidP="008A1798">
            <w:pPr>
              <w:jc w:val="center"/>
              <w:rPr>
                <w:b/>
                <w:bCs/>
                <w:sz w:val="24"/>
                <w:szCs w:val="24"/>
              </w:rPr>
            </w:pPr>
          </w:p>
          <w:p w14:paraId="7806165A" w14:textId="683C55B4" w:rsidR="00F33D22" w:rsidRPr="00066D4B" w:rsidRDefault="00F33D22" w:rsidP="008A1798">
            <w:pPr>
              <w:jc w:val="center"/>
              <w:rPr>
                <w:b/>
                <w:bCs/>
                <w:sz w:val="24"/>
                <w:szCs w:val="24"/>
              </w:rPr>
            </w:pPr>
          </w:p>
        </w:tc>
        <w:tc>
          <w:tcPr>
            <w:tcW w:w="2105" w:type="dxa"/>
          </w:tcPr>
          <w:p w14:paraId="4B0FC05F" w14:textId="77777777" w:rsidR="00F33D22" w:rsidRDefault="00F33D22" w:rsidP="008A1798">
            <w:r>
              <w:lastRenderedPageBreak/>
              <w:t>PIES needs at the relevant life stage.</w:t>
            </w:r>
          </w:p>
          <w:p w14:paraId="1C946E50" w14:textId="771CF3A7" w:rsidR="00F33D22" w:rsidRDefault="00F33D22" w:rsidP="008A1798">
            <w:r>
              <w:t>Life events, the impact of life events and the support individuals might need.</w:t>
            </w:r>
          </w:p>
        </w:tc>
        <w:tc>
          <w:tcPr>
            <w:tcW w:w="2388" w:type="dxa"/>
          </w:tcPr>
          <w:p w14:paraId="0558B108" w14:textId="3EB73678" w:rsidR="00F33D22" w:rsidRDefault="00F33D22" w:rsidP="008A1798">
            <w:r>
              <w:t>Expected and unexpected life events, the impact that life events have on individuals, identifying individual’s needs based on the impacts of life events.</w:t>
            </w:r>
          </w:p>
        </w:tc>
        <w:tc>
          <w:tcPr>
            <w:tcW w:w="2060" w:type="dxa"/>
          </w:tcPr>
          <w:p w14:paraId="368C3BB3" w14:textId="0FAF662E" w:rsidR="00F33D22" w:rsidRDefault="00F33D22" w:rsidP="00853FDC">
            <w:r>
              <w:t>Sources of support, the role of practitioners in providing support, the role of informal caregivers, how practitioners meet individual needs</w:t>
            </w:r>
          </w:p>
        </w:tc>
        <w:tc>
          <w:tcPr>
            <w:tcW w:w="2084" w:type="dxa"/>
          </w:tcPr>
          <w:p w14:paraId="3CDB19EB" w14:textId="5FE8BD6C" w:rsidR="00F33D22" w:rsidRDefault="00F33D22" w:rsidP="00FE071B">
            <w:r w:rsidRPr="00FE071B">
              <w:t>Sources of support, the role of practitioners in providing support, the role of informal caregivers, how practitioners meet individual needs</w:t>
            </w:r>
          </w:p>
        </w:tc>
        <w:tc>
          <w:tcPr>
            <w:tcW w:w="2028" w:type="dxa"/>
          </w:tcPr>
          <w:p w14:paraId="3C7E28AF" w14:textId="7EB7B25F" w:rsidR="00F33D22" w:rsidRDefault="00F33D22" w:rsidP="008A1798"/>
        </w:tc>
        <w:tc>
          <w:tcPr>
            <w:tcW w:w="2071" w:type="dxa"/>
          </w:tcPr>
          <w:p w14:paraId="432DE25E" w14:textId="310B3437" w:rsidR="00F33D22" w:rsidRDefault="00F33D22" w:rsidP="008A1798">
            <w:r w:rsidRPr="00FE071B">
              <w:t>Types of creative activities and needs of individuals.</w:t>
            </w:r>
          </w:p>
          <w:p w14:paraId="61B88829" w14:textId="2864EEE7" w:rsidR="00F33D22" w:rsidRDefault="00F33D22" w:rsidP="008A1798">
            <w:r>
              <w:t>physical benefits</w:t>
            </w:r>
          </w:p>
          <w:p w14:paraId="5EA6C994" w14:textId="77777777" w:rsidR="00F33D22" w:rsidRDefault="00F33D22" w:rsidP="008A1798">
            <w:r>
              <w:t>intellectual benefits</w:t>
            </w:r>
          </w:p>
          <w:p w14:paraId="4003CD0B" w14:textId="77777777" w:rsidR="00F33D22" w:rsidRDefault="00F33D22" w:rsidP="008A1798">
            <w:r>
              <w:t>language benefits</w:t>
            </w:r>
          </w:p>
          <w:p w14:paraId="287C4417" w14:textId="77777777" w:rsidR="00F33D22" w:rsidRDefault="00F33D22" w:rsidP="008A1798">
            <w:r>
              <w:t>emotional benefits</w:t>
            </w:r>
          </w:p>
          <w:p w14:paraId="4EEB9305" w14:textId="7671BA46" w:rsidR="00F33D22" w:rsidRDefault="00F33D22" w:rsidP="008A1798">
            <w:r>
              <w:t>social benefits</w:t>
            </w:r>
          </w:p>
        </w:tc>
      </w:tr>
      <w:tr w:rsidR="00F33D22" w14:paraId="7F6BA2C1" w14:textId="7CCA6F4D" w:rsidTr="00F33D22">
        <w:trPr>
          <w:trHeight w:val="270"/>
        </w:trPr>
        <w:tc>
          <w:tcPr>
            <w:tcW w:w="2856" w:type="dxa"/>
            <w:vAlign w:val="center"/>
          </w:tcPr>
          <w:p w14:paraId="0F0B034F" w14:textId="4B2E7A19" w:rsidR="00F33D22" w:rsidRPr="00066D4B" w:rsidRDefault="00F33D22" w:rsidP="001A02FF">
            <w:pPr>
              <w:jc w:val="center"/>
              <w:rPr>
                <w:b/>
                <w:bCs/>
                <w:sz w:val="24"/>
                <w:szCs w:val="24"/>
              </w:rPr>
            </w:pPr>
            <w:r w:rsidRPr="00066D4B">
              <w:rPr>
                <w:b/>
                <w:bCs/>
                <w:sz w:val="24"/>
                <w:szCs w:val="24"/>
              </w:rPr>
              <w:t>Understanding / Sequence of delivery</w:t>
            </w:r>
          </w:p>
        </w:tc>
        <w:tc>
          <w:tcPr>
            <w:tcW w:w="2105" w:type="dxa"/>
          </w:tcPr>
          <w:p w14:paraId="56B0F812" w14:textId="77777777" w:rsidR="00F33D22" w:rsidRDefault="00F33D22" w:rsidP="001A02FF">
            <w:pPr>
              <w:pStyle w:val="ListParagraph"/>
              <w:numPr>
                <w:ilvl w:val="0"/>
                <w:numId w:val="4"/>
              </w:numPr>
            </w:pPr>
            <w:r>
              <w:t>Physical development at the relevant life stage.</w:t>
            </w:r>
          </w:p>
          <w:p w14:paraId="28949A9B" w14:textId="718A1F84" w:rsidR="00F33D22" w:rsidRPr="00157D30" w:rsidRDefault="00F33D22" w:rsidP="00157D30">
            <w:pPr>
              <w:pStyle w:val="ListParagraph"/>
              <w:numPr>
                <w:ilvl w:val="0"/>
                <w:numId w:val="4"/>
              </w:numPr>
            </w:pPr>
            <w:r>
              <w:t xml:space="preserve">Intellectual </w:t>
            </w:r>
            <w:r w:rsidRPr="00157D30">
              <w:t>development at the relevant life stage.</w:t>
            </w:r>
          </w:p>
          <w:p w14:paraId="01732B5D" w14:textId="51AC01A7" w:rsidR="00F33D22" w:rsidRPr="00157D30" w:rsidRDefault="00F33D22" w:rsidP="00157D30">
            <w:pPr>
              <w:pStyle w:val="ListParagraph"/>
              <w:numPr>
                <w:ilvl w:val="0"/>
                <w:numId w:val="4"/>
              </w:numPr>
            </w:pPr>
            <w:r>
              <w:t xml:space="preserve">Emotional </w:t>
            </w:r>
            <w:r w:rsidRPr="00157D30">
              <w:t>development at the relevant life stage.</w:t>
            </w:r>
          </w:p>
          <w:p w14:paraId="51301EA1" w14:textId="33A826B3" w:rsidR="00F33D22" w:rsidRPr="00157D30" w:rsidRDefault="00F33D22" w:rsidP="00157D30">
            <w:pPr>
              <w:pStyle w:val="ListParagraph"/>
              <w:numPr>
                <w:ilvl w:val="0"/>
                <w:numId w:val="4"/>
              </w:numPr>
            </w:pPr>
            <w:r>
              <w:t xml:space="preserve">Social </w:t>
            </w:r>
            <w:r w:rsidRPr="00157D30">
              <w:t>development at the relevant life stage.</w:t>
            </w:r>
          </w:p>
          <w:p w14:paraId="153B608C" w14:textId="77777777" w:rsidR="00F33D22" w:rsidRDefault="00F33D22" w:rsidP="001A02FF">
            <w:pPr>
              <w:pStyle w:val="ListParagraph"/>
              <w:numPr>
                <w:ilvl w:val="0"/>
                <w:numId w:val="4"/>
              </w:numPr>
            </w:pPr>
            <w:r>
              <w:t>The 3 relevant factors affecting development at the chosen life stage from: physical, social, emotional, economic, cultural and environmental factors.</w:t>
            </w:r>
          </w:p>
          <w:p w14:paraId="2206ECCB" w14:textId="77777777" w:rsidR="00F33D22" w:rsidRDefault="00F33D22" w:rsidP="001A02FF">
            <w:pPr>
              <w:pStyle w:val="ListParagraph"/>
              <w:numPr>
                <w:ilvl w:val="0"/>
                <w:numId w:val="4"/>
              </w:numPr>
            </w:pPr>
            <w:r>
              <w:t xml:space="preserve">Expected and unexpected life events. </w:t>
            </w:r>
          </w:p>
          <w:p w14:paraId="348AA00D" w14:textId="1E15DC4C" w:rsidR="00F33D22" w:rsidRDefault="00F33D22" w:rsidP="001A02FF">
            <w:pPr>
              <w:pStyle w:val="ListParagraph"/>
              <w:numPr>
                <w:ilvl w:val="0"/>
                <w:numId w:val="4"/>
              </w:numPr>
            </w:pPr>
            <w:r>
              <w:t xml:space="preserve">The physical, intellectual, </w:t>
            </w:r>
            <w:r>
              <w:lastRenderedPageBreak/>
              <w:t>emotional, social and financial impact of life events.</w:t>
            </w:r>
          </w:p>
        </w:tc>
        <w:tc>
          <w:tcPr>
            <w:tcW w:w="2388" w:type="dxa"/>
          </w:tcPr>
          <w:p w14:paraId="7A098F91" w14:textId="77777777" w:rsidR="00F33D22" w:rsidRDefault="00F33D22" w:rsidP="00157D30">
            <w:pPr>
              <w:pStyle w:val="ListParagraph"/>
              <w:numPr>
                <w:ilvl w:val="0"/>
                <w:numId w:val="27"/>
              </w:numPr>
              <w:spacing w:after="160" w:line="259" w:lineRule="auto"/>
            </w:pPr>
            <w:r>
              <w:lastRenderedPageBreak/>
              <w:t xml:space="preserve">Expected and unexpected life events. </w:t>
            </w:r>
          </w:p>
          <w:p w14:paraId="774BF736" w14:textId="77777777" w:rsidR="00F33D22" w:rsidRDefault="00F33D22" w:rsidP="00157D30">
            <w:pPr>
              <w:pStyle w:val="ListParagraph"/>
              <w:numPr>
                <w:ilvl w:val="0"/>
                <w:numId w:val="27"/>
              </w:numPr>
            </w:pPr>
            <w:r>
              <w:t>The physical, intellectual, emotional, social and financial impact of life events.</w:t>
            </w:r>
          </w:p>
          <w:p w14:paraId="3095855F" w14:textId="3E610475" w:rsidR="00F33D22" w:rsidRDefault="00F33D22" w:rsidP="00157D30">
            <w:pPr>
              <w:pStyle w:val="ListParagraph"/>
              <w:numPr>
                <w:ilvl w:val="0"/>
                <w:numId w:val="27"/>
              </w:numPr>
            </w:pPr>
            <w:r>
              <w:t>Identifying needs based on the impact of life events.</w:t>
            </w:r>
          </w:p>
          <w:p w14:paraId="669304E6" w14:textId="77777777" w:rsidR="00F33D22" w:rsidRDefault="00F33D22" w:rsidP="00157D30">
            <w:pPr>
              <w:pStyle w:val="ListParagraph"/>
              <w:numPr>
                <w:ilvl w:val="0"/>
                <w:numId w:val="27"/>
              </w:numPr>
            </w:pPr>
            <w:r>
              <w:t>Rights of service users</w:t>
            </w:r>
          </w:p>
          <w:p w14:paraId="312FE59D" w14:textId="77777777" w:rsidR="00F33D22" w:rsidRDefault="00F33D22" w:rsidP="00157D30">
            <w:pPr>
              <w:pStyle w:val="ListParagraph"/>
              <w:numPr>
                <w:ilvl w:val="0"/>
                <w:numId w:val="27"/>
              </w:numPr>
            </w:pPr>
            <w:r>
              <w:t>Person centred values</w:t>
            </w:r>
          </w:p>
          <w:p w14:paraId="452AEEF6" w14:textId="15888DC2" w:rsidR="00F33D22" w:rsidRDefault="00F33D22" w:rsidP="00157D30">
            <w:pPr>
              <w:pStyle w:val="ListParagraph"/>
              <w:numPr>
                <w:ilvl w:val="0"/>
                <w:numId w:val="27"/>
              </w:numPr>
            </w:pPr>
            <w:r>
              <w:t>Effective communication.</w:t>
            </w:r>
          </w:p>
        </w:tc>
        <w:tc>
          <w:tcPr>
            <w:tcW w:w="2060" w:type="dxa"/>
          </w:tcPr>
          <w:p w14:paraId="7CD66B41" w14:textId="77777777" w:rsidR="00F33D22" w:rsidRDefault="00F33D22" w:rsidP="00157D30">
            <w:pPr>
              <w:pStyle w:val="ListParagraph"/>
              <w:numPr>
                <w:ilvl w:val="0"/>
                <w:numId w:val="28"/>
              </w:numPr>
              <w:spacing w:after="160" w:line="259" w:lineRule="auto"/>
            </w:pPr>
            <w:r>
              <w:t xml:space="preserve">Expected and unexpected life events. </w:t>
            </w:r>
          </w:p>
          <w:p w14:paraId="48DD9BD7" w14:textId="77777777" w:rsidR="00F33D22" w:rsidRDefault="00F33D22" w:rsidP="00157D30">
            <w:pPr>
              <w:pStyle w:val="ListParagraph"/>
              <w:numPr>
                <w:ilvl w:val="0"/>
                <w:numId w:val="28"/>
              </w:numPr>
            </w:pPr>
            <w:r>
              <w:t>The physical, intellectual, emotional, social and financial impact of life events.</w:t>
            </w:r>
          </w:p>
          <w:p w14:paraId="78B0716D" w14:textId="77777777" w:rsidR="00F33D22" w:rsidRDefault="00F33D22" w:rsidP="00157D30">
            <w:pPr>
              <w:pStyle w:val="ListParagraph"/>
              <w:numPr>
                <w:ilvl w:val="0"/>
                <w:numId w:val="28"/>
              </w:numPr>
            </w:pPr>
            <w:r>
              <w:t>Identifying needs based on the impact of life events.</w:t>
            </w:r>
          </w:p>
          <w:p w14:paraId="0AB97683" w14:textId="69F3D498" w:rsidR="00F33D22" w:rsidRDefault="00F33D22" w:rsidP="00157D30">
            <w:pPr>
              <w:pStyle w:val="ListParagraph"/>
              <w:numPr>
                <w:ilvl w:val="0"/>
                <w:numId w:val="28"/>
              </w:numPr>
            </w:pPr>
            <w:r>
              <w:t>Formal, informal and charity sources of support.</w:t>
            </w:r>
          </w:p>
          <w:p w14:paraId="24DB5415" w14:textId="007F2C10" w:rsidR="00F33D22" w:rsidRDefault="00F33D22" w:rsidP="00157D30">
            <w:pPr>
              <w:pStyle w:val="ListParagraph"/>
              <w:numPr>
                <w:ilvl w:val="0"/>
                <w:numId w:val="28"/>
              </w:numPr>
            </w:pPr>
            <w:r>
              <w:t>The role of practitioners and informal carers in providing support.</w:t>
            </w:r>
          </w:p>
          <w:p w14:paraId="4A2C37B5" w14:textId="13B7E2EE" w:rsidR="00F33D22" w:rsidRDefault="00F33D22" w:rsidP="00157D30">
            <w:pPr>
              <w:pStyle w:val="ListParagraph"/>
              <w:numPr>
                <w:ilvl w:val="0"/>
                <w:numId w:val="28"/>
              </w:numPr>
            </w:pPr>
            <w:r>
              <w:t>Applying person-centred values.</w:t>
            </w:r>
          </w:p>
          <w:p w14:paraId="1B1E1DD9" w14:textId="33DB0506" w:rsidR="00F33D22" w:rsidRDefault="00F33D22" w:rsidP="00157D30"/>
        </w:tc>
        <w:tc>
          <w:tcPr>
            <w:tcW w:w="2084" w:type="dxa"/>
          </w:tcPr>
          <w:p w14:paraId="6CBD1663" w14:textId="77777777" w:rsidR="00F33D22" w:rsidRDefault="00F33D22" w:rsidP="008E6B5D">
            <w:pPr>
              <w:pStyle w:val="ListParagraph"/>
              <w:numPr>
                <w:ilvl w:val="0"/>
                <w:numId w:val="16"/>
              </w:numPr>
            </w:pPr>
            <w:r>
              <w:t>Formal, informal and charity sources of support.</w:t>
            </w:r>
          </w:p>
          <w:p w14:paraId="2D10B2E7" w14:textId="77777777" w:rsidR="00F33D22" w:rsidRDefault="00F33D22" w:rsidP="008E6B5D">
            <w:pPr>
              <w:pStyle w:val="ListParagraph"/>
              <w:numPr>
                <w:ilvl w:val="0"/>
                <w:numId w:val="16"/>
              </w:numPr>
            </w:pPr>
            <w:r>
              <w:t>The role of practitioners and informal carers in providing support.</w:t>
            </w:r>
          </w:p>
          <w:p w14:paraId="74AC00C9" w14:textId="77777777" w:rsidR="00F33D22" w:rsidRDefault="00F33D22" w:rsidP="008E6B5D">
            <w:pPr>
              <w:pStyle w:val="ListParagraph"/>
              <w:numPr>
                <w:ilvl w:val="0"/>
                <w:numId w:val="16"/>
              </w:numPr>
            </w:pPr>
            <w:r>
              <w:t>Applying person-centred values.</w:t>
            </w:r>
          </w:p>
          <w:p w14:paraId="6D6BD66F" w14:textId="3CD86B0E" w:rsidR="00F33D22" w:rsidRDefault="00F33D22" w:rsidP="008E6B5D">
            <w:pPr>
              <w:pStyle w:val="ListParagraph"/>
              <w:numPr>
                <w:ilvl w:val="0"/>
                <w:numId w:val="16"/>
              </w:numPr>
            </w:pPr>
            <w:r w:rsidRPr="008E6B5D">
              <w:t>Rights of service users, person-centred values, effective communication, protecting service users and service providers.</w:t>
            </w:r>
          </w:p>
        </w:tc>
        <w:tc>
          <w:tcPr>
            <w:tcW w:w="2028" w:type="dxa"/>
          </w:tcPr>
          <w:p w14:paraId="09CDBD98" w14:textId="77777777" w:rsidR="00F33D22" w:rsidRDefault="00F33D22" w:rsidP="00A517CF">
            <w:pPr>
              <w:pStyle w:val="ListParagraph"/>
              <w:numPr>
                <w:ilvl w:val="0"/>
                <w:numId w:val="29"/>
              </w:numPr>
              <w:spacing w:after="160" w:line="259" w:lineRule="auto"/>
            </w:pPr>
            <w:r w:rsidRPr="00853FDC">
              <w:t>Rights of service users, person-centred values, effective communication, protecting service users and service providers.</w:t>
            </w:r>
          </w:p>
          <w:p w14:paraId="1B0B5B86" w14:textId="77777777" w:rsidR="00F33D22" w:rsidRDefault="00F33D22" w:rsidP="00A517CF">
            <w:pPr>
              <w:pStyle w:val="ListParagraph"/>
              <w:numPr>
                <w:ilvl w:val="0"/>
                <w:numId w:val="29"/>
              </w:numPr>
            </w:pPr>
            <w:r>
              <w:t>Types of therapies and creative activities.</w:t>
            </w:r>
          </w:p>
          <w:p w14:paraId="7F976AE2" w14:textId="1DC2E0D3" w:rsidR="00F33D22" w:rsidRDefault="00F33D22" w:rsidP="00A517CF">
            <w:pPr>
              <w:pStyle w:val="ListParagraph"/>
              <w:numPr>
                <w:ilvl w:val="0"/>
                <w:numId w:val="29"/>
              </w:numPr>
              <w:spacing w:after="160" w:line="259" w:lineRule="auto"/>
            </w:pPr>
            <w:r>
              <w:t>PIES benefits of therapies and creative activities.</w:t>
            </w:r>
          </w:p>
          <w:p w14:paraId="5D0E60E6" w14:textId="558FD778" w:rsidR="00F33D22" w:rsidRDefault="00F33D22" w:rsidP="008E6B5D"/>
        </w:tc>
        <w:tc>
          <w:tcPr>
            <w:tcW w:w="2071" w:type="dxa"/>
          </w:tcPr>
          <w:p w14:paraId="0F32BE45" w14:textId="125B3FE6" w:rsidR="00F33D22" w:rsidRDefault="00F33D22" w:rsidP="00A517CF">
            <w:pPr>
              <w:pStyle w:val="ListParagraph"/>
              <w:numPr>
                <w:ilvl w:val="0"/>
                <w:numId w:val="30"/>
              </w:numPr>
            </w:pPr>
            <w:r>
              <w:t>Types of therapies and creative activities.</w:t>
            </w:r>
          </w:p>
          <w:p w14:paraId="0BA84C12" w14:textId="2777094A" w:rsidR="00F33D22" w:rsidRDefault="00F33D22" w:rsidP="00A517CF">
            <w:pPr>
              <w:pStyle w:val="ListParagraph"/>
              <w:numPr>
                <w:ilvl w:val="0"/>
                <w:numId w:val="30"/>
              </w:numPr>
            </w:pPr>
            <w:r>
              <w:t>PIES benefits of therapies and creative activities.</w:t>
            </w:r>
          </w:p>
        </w:tc>
      </w:tr>
      <w:tr w:rsidR="00F33D22" w14:paraId="71A33B6C" w14:textId="77777777" w:rsidTr="00F33D22">
        <w:trPr>
          <w:trHeight w:val="270"/>
        </w:trPr>
        <w:tc>
          <w:tcPr>
            <w:tcW w:w="2856" w:type="dxa"/>
            <w:vAlign w:val="center"/>
          </w:tcPr>
          <w:p w14:paraId="4D7896D8" w14:textId="77777777" w:rsidR="00F33D22" w:rsidRDefault="00F33D22" w:rsidP="001A02FF">
            <w:pPr>
              <w:jc w:val="center"/>
              <w:rPr>
                <w:b/>
                <w:bCs/>
                <w:sz w:val="24"/>
                <w:szCs w:val="24"/>
              </w:rPr>
            </w:pPr>
            <w:r>
              <w:rPr>
                <w:b/>
                <w:bCs/>
                <w:sz w:val="24"/>
                <w:szCs w:val="24"/>
              </w:rPr>
              <w:t>Assessment</w:t>
            </w:r>
          </w:p>
          <w:p w14:paraId="374C1488" w14:textId="5837BA85" w:rsidR="00F33D22" w:rsidRPr="00066D4B" w:rsidRDefault="00F33D22" w:rsidP="006C0819">
            <w:pPr>
              <w:rPr>
                <w:b/>
                <w:bCs/>
                <w:sz w:val="24"/>
                <w:szCs w:val="24"/>
              </w:rPr>
            </w:pPr>
          </w:p>
        </w:tc>
        <w:tc>
          <w:tcPr>
            <w:tcW w:w="2105" w:type="dxa"/>
          </w:tcPr>
          <w:p w14:paraId="7CBC7341" w14:textId="14506A48" w:rsidR="00F33D22" w:rsidRDefault="00F33D22" w:rsidP="001A02FF">
            <w:pPr>
              <w:pStyle w:val="ListParagraph"/>
              <w:ind w:left="360"/>
            </w:pPr>
            <w:r>
              <w:t>coursework marked and graded, topic area tests.</w:t>
            </w:r>
          </w:p>
        </w:tc>
        <w:tc>
          <w:tcPr>
            <w:tcW w:w="2388" w:type="dxa"/>
          </w:tcPr>
          <w:p w14:paraId="649E7A40" w14:textId="2FDE6326" w:rsidR="00F33D22" w:rsidRDefault="00F33D22" w:rsidP="001A02FF">
            <w:pPr>
              <w:pStyle w:val="ListParagraph"/>
              <w:ind w:left="360"/>
            </w:pPr>
            <w:r w:rsidRPr="00F33D22">
              <w:t>coursework marked and graded, topic area tests.</w:t>
            </w:r>
          </w:p>
        </w:tc>
        <w:tc>
          <w:tcPr>
            <w:tcW w:w="2060" w:type="dxa"/>
          </w:tcPr>
          <w:p w14:paraId="2EC4C9FC" w14:textId="74C93867" w:rsidR="00F33D22" w:rsidRDefault="00F33D22" w:rsidP="001A02FF">
            <w:pPr>
              <w:pStyle w:val="ListParagraph"/>
              <w:ind w:left="360"/>
            </w:pPr>
            <w:r w:rsidRPr="00F33D22">
              <w:t>coursework marked and graded, topic area tests.</w:t>
            </w:r>
          </w:p>
        </w:tc>
        <w:tc>
          <w:tcPr>
            <w:tcW w:w="2084" w:type="dxa"/>
          </w:tcPr>
          <w:p w14:paraId="4E858F21" w14:textId="308C19DA" w:rsidR="00F33D22" w:rsidRDefault="00F33D22" w:rsidP="001A02FF">
            <w:pPr>
              <w:pStyle w:val="ListParagraph"/>
              <w:ind w:left="360"/>
            </w:pPr>
            <w:r w:rsidRPr="00F33D22">
              <w:t>coursework marked and graded, topic area tests.</w:t>
            </w:r>
          </w:p>
        </w:tc>
        <w:tc>
          <w:tcPr>
            <w:tcW w:w="2028" w:type="dxa"/>
          </w:tcPr>
          <w:p w14:paraId="74D0C2DF" w14:textId="1D12A960" w:rsidR="00F33D22" w:rsidRDefault="00F33D22" w:rsidP="001A02FF">
            <w:pPr>
              <w:pStyle w:val="ListParagraph"/>
              <w:ind w:left="360"/>
            </w:pPr>
            <w:r w:rsidRPr="00F33D22">
              <w:t>coursework marked and graded, topic area tests</w:t>
            </w:r>
            <w:r>
              <w:t xml:space="preserve"> and PPE.</w:t>
            </w:r>
          </w:p>
        </w:tc>
        <w:tc>
          <w:tcPr>
            <w:tcW w:w="2071" w:type="dxa"/>
          </w:tcPr>
          <w:p w14:paraId="07D0D5B5" w14:textId="140512F2" w:rsidR="00F33D22" w:rsidRDefault="00F33D22" w:rsidP="001A02FF">
            <w:r w:rsidRPr="00F33D22">
              <w:t>coursework marked and graded, topic area tests.</w:t>
            </w:r>
          </w:p>
        </w:tc>
      </w:tr>
    </w:tbl>
    <w:p w14:paraId="2BD333CC" w14:textId="77777777" w:rsidR="00F33D22" w:rsidRDefault="00F33D22"/>
    <w:sectPr w:rsidR="00214680" w:rsidSect="000C2E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6F2"/>
    <w:multiLevelType w:val="hybridMultilevel"/>
    <w:tmpl w:val="E0629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53848"/>
    <w:multiLevelType w:val="hybridMultilevel"/>
    <w:tmpl w:val="526A15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2526AB"/>
    <w:multiLevelType w:val="hybridMultilevel"/>
    <w:tmpl w:val="CB2831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716837"/>
    <w:multiLevelType w:val="hybridMultilevel"/>
    <w:tmpl w:val="0BAC2252"/>
    <w:lvl w:ilvl="0" w:tplc="D08AD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10E89"/>
    <w:multiLevelType w:val="hybridMultilevel"/>
    <w:tmpl w:val="F1A6099A"/>
    <w:lvl w:ilvl="0" w:tplc="91DAC2C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D5CD3"/>
    <w:multiLevelType w:val="hybridMultilevel"/>
    <w:tmpl w:val="4D1450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B60FA1"/>
    <w:multiLevelType w:val="hybridMultilevel"/>
    <w:tmpl w:val="2084AF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2805D5"/>
    <w:multiLevelType w:val="hybridMultilevel"/>
    <w:tmpl w:val="6AB06E9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E641DA"/>
    <w:multiLevelType w:val="hybridMultilevel"/>
    <w:tmpl w:val="B1E4E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2A41F9"/>
    <w:multiLevelType w:val="hybridMultilevel"/>
    <w:tmpl w:val="3EC8D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593EC8"/>
    <w:multiLevelType w:val="hybridMultilevel"/>
    <w:tmpl w:val="814A633A"/>
    <w:lvl w:ilvl="0" w:tplc="2D2C4D00">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0B3E5E"/>
    <w:multiLevelType w:val="hybridMultilevel"/>
    <w:tmpl w:val="6AB06E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DF2F8C"/>
    <w:multiLevelType w:val="hybridMultilevel"/>
    <w:tmpl w:val="88B28BE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200D43"/>
    <w:multiLevelType w:val="hybridMultilevel"/>
    <w:tmpl w:val="D564D3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E505B0"/>
    <w:multiLevelType w:val="hybridMultilevel"/>
    <w:tmpl w:val="BB961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EE53D9"/>
    <w:multiLevelType w:val="hybridMultilevel"/>
    <w:tmpl w:val="E16C9C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82D1A68"/>
    <w:multiLevelType w:val="hybridMultilevel"/>
    <w:tmpl w:val="7E2AAF36"/>
    <w:lvl w:ilvl="0" w:tplc="6D049C9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71934"/>
    <w:multiLevelType w:val="hybridMultilevel"/>
    <w:tmpl w:val="31D8B314"/>
    <w:lvl w:ilvl="0" w:tplc="0EA2E068">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67B01"/>
    <w:multiLevelType w:val="hybridMultilevel"/>
    <w:tmpl w:val="F1A609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111CF2"/>
    <w:multiLevelType w:val="hybridMultilevel"/>
    <w:tmpl w:val="3C561B9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5F12873"/>
    <w:multiLevelType w:val="hybridMultilevel"/>
    <w:tmpl w:val="6936C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75D3621"/>
    <w:multiLevelType w:val="hybridMultilevel"/>
    <w:tmpl w:val="6A2C7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3F4756"/>
    <w:multiLevelType w:val="hybridMultilevel"/>
    <w:tmpl w:val="7CB4A4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56F6703"/>
    <w:multiLevelType w:val="hybridMultilevel"/>
    <w:tmpl w:val="6D5E23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1079E3"/>
    <w:multiLevelType w:val="hybridMultilevel"/>
    <w:tmpl w:val="8064F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D91FE8"/>
    <w:multiLevelType w:val="hybridMultilevel"/>
    <w:tmpl w:val="9B14FD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AE44478"/>
    <w:multiLevelType w:val="hybridMultilevel"/>
    <w:tmpl w:val="7CB4A4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B1E0152"/>
    <w:multiLevelType w:val="hybridMultilevel"/>
    <w:tmpl w:val="187215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6A6D60"/>
    <w:multiLevelType w:val="hybridMultilevel"/>
    <w:tmpl w:val="88301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9375D0"/>
    <w:multiLevelType w:val="hybridMultilevel"/>
    <w:tmpl w:val="059A4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5583642">
    <w:abstractNumId w:val="8"/>
  </w:num>
  <w:num w:numId="2" w16cid:durableId="427431024">
    <w:abstractNumId w:val="6"/>
  </w:num>
  <w:num w:numId="3" w16cid:durableId="1345941835">
    <w:abstractNumId w:val="12"/>
  </w:num>
  <w:num w:numId="4" w16cid:durableId="1844012343">
    <w:abstractNumId w:val="2"/>
  </w:num>
  <w:num w:numId="5" w16cid:durableId="1391346580">
    <w:abstractNumId w:val="23"/>
  </w:num>
  <w:num w:numId="6" w16cid:durableId="2015760898">
    <w:abstractNumId w:val="11"/>
  </w:num>
  <w:num w:numId="7" w16cid:durableId="719865539">
    <w:abstractNumId w:val="25"/>
  </w:num>
  <w:num w:numId="8" w16cid:durableId="71002446">
    <w:abstractNumId w:val="27"/>
  </w:num>
  <w:num w:numId="9" w16cid:durableId="320743867">
    <w:abstractNumId w:val="13"/>
  </w:num>
  <w:num w:numId="10" w16cid:durableId="420489050">
    <w:abstractNumId w:val="21"/>
  </w:num>
  <w:num w:numId="11" w16cid:durableId="1477450013">
    <w:abstractNumId w:val="9"/>
  </w:num>
  <w:num w:numId="12" w16cid:durableId="1516843761">
    <w:abstractNumId w:val="28"/>
  </w:num>
  <w:num w:numId="13" w16cid:durableId="405759428">
    <w:abstractNumId w:val="29"/>
  </w:num>
  <w:num w:numId="14" w16cid:durableId="221717327">
    <w:abstractNumId w:val="14"/>
  </w:num>
  <w:num w:numId="15" w16cid:durableId="1694572186">
    <w:abstractNumId w:val="0"/>
  </w:num>
  <w:num w:numId="16" w16cid:durableId="850725976">
    <w:abstractNumId w:val="1"/>
  </w:num>
  <w:num w:numId="17" w16cid:durableId="688726595">
    <w:abstractNumId w:val="20"/>
  </w:num>
  <w:num w:numId="18" w16cid:durableId="1587955461">
    <w:abstractNumId w:val="24"/>
  </w:num>
  <w:num w:numId="19" w16cid:durableId="1680549028">
    <w:abstractNumId w:val="19"/>
  </w:num>
  <w:num w:numId="20" w16cid:durableId="350958933">
    <w:abstractNumId w:val="5"/>
  </w:num>
  <w:num w:numId="21" w16cid:durableId="817381489">
    <w:abstractNumId w:val="10"/>
  </w:num>
  <w:num w:numId="22" w16cid:durableId="347755228">
    <w:abstractNumId w:val="15"/>
  </w:num>
  <w:num w:numId="23" w16cid:durableId="572856158">
    <w:abstractNumId w:val="17"/>
  </w:num>
  <w:num w:numId="24" w16cid:durableId="1056203712">
    <w:abstractNumId w:val="16"/>
  </w:num>
  <w:num w:numId="25" w16cid:durableId="323355983">
    <w:abstractNumId w:val="3"/>
  </w:num>
  <w:num w:numId="26" w16cid:durableId="1778064247">
    <w:abstractNumId w:val="7"/>
  </w:num>
  <w:num w:numId="27" w16cid:durableId="2025863455">
    <w:abstractNumId w:val="26"/>
  </w:num>
  <w:num w:numId="28" w16cid:durableId="1925725110">
    <w:abstractNumId w:val="22"/>
  </w:num>
  <w:num w:numId="29" w16cid:durableId="688064755">
    <w:abstractNumId w:val="4"/>
  </w:num>
  <w:num w:numId="30" w16cid:durableId="7701259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97"/>
    <w:rsid w:val="00066D4B"/>
    <w:rsid w:val="000C2E97"/>
    <w:rsid w:val="00113D17"/>
    <w:rsid w:val="00126858"/>
    <w:rsid w:val="00157D30"/>
    <w:rsid w:val="001A02FF"/>
    <w:rsid w:val="002202BA"/>
    <w:rsid w:val="00256FA1"/>
    <w:rsid w:val="00310033"/>
    <w:rsid w:val="00577923"/>
    <w:rsid w:val="005A14E7"/>
    <w:rsid w:val="0060762C"/>
    <w:rsid w:val="006B1962"/>
    <w:rsid w:val="006C0819"/>
    <w:rsid w:val="00716DC7"/>
    <w:rsid w:val="00732A3D"/>
    <w:rsid w:val="00742FF7"/>
    <w:rsid w:val="007F43D5"/>
    <w:rsid w:val="007F7897"/>
    <w:rsid w:val="00811E5D"/>
    <w:rsid w:val="00853FDC"/>
    <w:rsid w:val="00884075"/>
    <w:rsid w:val="008A1798"/>
    <w:rsid w:val="008E6B5D"/>
    <w:rsid w:val="009D0B89"/>
    <w:rsid w:val="00A517CF"/>
    <w:rsid w:val="00A55AD2"/>
    <w:rsid w:val="00AF211E"/>
    <w:rsid w:val="00B01156"/>
    <w:rsid w:val="00BE4ED1"/>
    <w:rsid w:val="00C95B1B"/>
    <w:rsid w:val="00C96FC3"/>
    <w:rsid w:val="00CE2F38"/>
    <w:rsid w:val="00D24D7B"/>
    <w:rsid w:val="00D46450"/>
    <w:rsid w:val="00D77FA1"/>
    <w:rsid w:val="00DE3F3E"/>
    <w:rsid w:val="00E712C4"/>
    <w:rsid w:val="00E81ED0"/>
    <w:rsid w:val="00EB6620"/>
    <w:rsid w:val="00F33D22"/>
    <w:rsid w:val="00F66FC3"/>
    <w:rsid w:val="00F93305"/>
    <w:rsid w:val="00FD7BA4"/>
    <w:rsid w:val="00FE071B"/>
    <w:rsid w:val="00FE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04BA"/>
  <w15:chartTrackingRefBased/>
  <w15:docId w15:val="{093974FE-0CD9-4E94-91EE-7158FF4A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3638</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Steed</dc:creator>
  <cp:keywords/>
  <dc:description/>
  <cp:lastModifiedBy>M.Obeata (MEO)</cp:lastModifiedBy>
  <cp:revision>6</cp:revision>
  <cp:lastPrinted>2021-06-21T12:01:00Z</cp:lastPrinted>
  <dcterms:created xsi:type="dcterms:W3CDTF">2024-10-08T12:01:00Z</dcterms:created>
  <dcterms:modified xsi:type="dcterms:W3CDTF">2024-10-12T15:38:00Z</dcterms:modified>
</cp:coreProperties>
</file>